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61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Синицына Александра Михайловича,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15.33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1108586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 </w:t>
      </w:r>
      <w:r>
        <w:rPr>
          <w:rStyle w:val="cat-OrganizationNamegrp-23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Синицын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норм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24.07.1998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125-ФЗ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обязательном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ул. 30 лет Победы, дом 19,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этаж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ЕФС-1-</w:t>
      </w:r>
      <w:r>
        <w:rPr>
          <w:rFonts w:ascii="Times New Roman" w:eastAsia="Times New Roman" w:hAnsi="Times New Roman" w:cs="Times New Roman"/>
          <w:sz w:val="28"/>
          <w:szCs w:val="28"/>
        </w:rPr>
        <w:t>425-</w:t>
      </w:r>
      <w:r>
        <w:rPr>
          <w:rStyle w:val="cat-UserDefinedgrp-2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Синицына 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1108586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12.12.2025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Синицына 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Синицыну 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тоже время статья 4.1.1 КоАП РФ предусматривает,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ч. 2 ст. 3.4 данного Кодекса, за исключением случаев, предусмотренных ч. 2 названной статьи.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OrganizationNamegrp-23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которого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Синицын А.М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ранее к административной ответственности не 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относится к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микропредприятию</w:t>
      </w:r>
      <w:r>
        <w:rPr>
          <w:rFonts w:ascii="Times New Roman" w:eastAsia="Times New Roman" w:hAnsi="Times New Roman" w:cs="Times New Roman"/>
          <w:sz w:val="28"/>
          <w:szCs w:val="28"/>
        </w:rPr>
        <w:t>, что подтверждается сведениями из Единого реестра субъектов малого и среднего предпринимательства.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2 ст. 15.33 КоАП РФ не предусматривает возможности назначения наказания в виде предупреждения, но в силу того, что при рассмотрении протокола не установлено обстоятельств, препятствующих применению положений ст. 4.1.1 КоАП РФ, мировой судья полагает возможным применить положение указанной нормы и заменить наказание в виде административного штрафа на предупреждение.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 29.9-29.10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Синицына Александра Михайловича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OrganizationNamegrp-23rplc-36">
    <w:name w:val="cat-OrganizationName grp-23 rplc-36"/>
    <w:basedOn w:val="DefaultParagraphFont"/>
  </w:style>
  <w:style w:type="character" w:customStyle="1" w:styleId="cat-UserDefinedgrp-29rplc-38">
    <w:name w:val="cat-UserDefined grp-2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